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B8" w:rsidRDefault="008169B8" w:rsidP="008169B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MHR 2004</w:t>
      </w:r>
    </w:p>
    <w:p w:rsidR="008169B8" w:rsidRDefault="008169B8" w:rsidP="008169B8">
      <w:r>
        <w:rPr>
          <w:rFonts w:ascii="Calibri" w:eastAsia="Calibri" w:hAnsi="Calibri" w:cs="Times New Roman"/>
        </w:rPr>
        <w:t>Visual- and Broadband-Mediated Learning, with Special Emphasis on Music Education</w:t>
      </w:r>
    </w:p>
    <w:p w:rsidR="008169B8" w:rsidRDefault="008169B8" w:rsidP="008169B8">
      <w:r>
        <w:t xml:space="preserve">Gilles Comeau </w:t>
      </w:r>
      <w:proofErr w:type="gramStart"/>
      <w:r>
        <w:t>et</w:t>
      </w:r>
      <w:proofErr w:type="gramEnd"/>
      <w:r>
        <w:t xml:space="preserve"> Marin Brooks</w:t>
      </w:r>
    </w:p>
    <w:tbl>
      <w:tblPr>
        <w:tblW w:w="9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0E0E0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54"/>
        <w:gridCol w:w="4946"/>
      </w:tblGrid>
      <w:tr w:rsidR="008169B8" w:rsidTr="006F14FA">
        <w:trPr>
          <w:tblCellSpacing w:w="15" w:type="dxa"/>
          <w:jc w:val="center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8169B8" w:rsidRDefault="008169B8" w:rsidP="006F14F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Abstract in French AND/OR in English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8169B8" w:rsidRDefault="008169B8" w:rsidP="006F14F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This session provides participants in-depth insight into next-generation distance-education and video-mediated learning. Case studies and video examples will demonstrate state-of-the-art in new pedagogy and technology, including broadband videoconference and use of video. Examples include </w:t>
            </w:r>
            <w:proofErr w:type="spellStart"/>
            <w:r>
              <w:rPr>
                <w:rFonts w:ascii="Calibri" w:eastAsia="Calibri" w:hAnsi="Calibri" w:cs="Times New Roman"/>
              </w:rPr>
              <w:t>telementoring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distance teaching to remote communities, teacher professional development and project-based learning, with a special emphasis on music education. Participants will be encouraged to brainstorm around their interests and potential </w:t>
            </w:r>
            <w:proofErr w:type="spellStart"/>
            <w:r>
              <w:rPr>
                <w:rFonts w:ascii="Calibri" w:eastAsia="Calibri" w:hAnsi="Calibri" w:cs="Times New Roman"/>
              </w:rPr>
              <w:t>applications</w:t>
            </w:r>
            <w:proofErr w:type="gramStart"/>
            <w:r>
              <w:rPr>
                <w:rFonts w:ascii="Calibri" w:eastAsia="Calibri" w:hAnsi="Calibri" w:cs="Times New Roman"/>
              </w:rPr>
              <w:t>,and</w:t>
            </w:r>
            <w:proofErr w:type="spellEnd"/>
            <w:proofErr w:type="gramEnd"/>
            <w:r>
              <w:rPr>
                <w:rFonts w:ascii="Calibri" w:eastAsia="Calibri" w:hAnsi="Calibri" w:cs="Times New Roman"/>
              </w:rPr>
              <w:t xml:space="preserve"> strategies for implementation will be discussed. This session will be of interest to educators and staff developers, in all fields, not just music.</w:t>
            </w:r>
          </w:p>
        </w:tc>
      </w:tr>
    </w:tbl>
    <w:p w:rsidR="00C62F2D" w:rsidRDefault="00C62F2D">
      <w:bookmarkStart w:id="0" w:name="_GoBack"/>
      <w:bookmarkEnd w:id="0"/>
    </w:p>
    <w:sectPr w:rsidR="00C62F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CF"/>
    <w:rsid w:val="008169B8"/>
    <w:rsid w:val="00C62F2D"/>
    <w:rsid w:val="00D8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>University of Ottawa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PianoLabAdminComp</dc:creator>
  <cp:keywords/>
  <dc:description/>
  <cp:lastModifiedBy>PianoLabAdminComp</cp:lastModifiedBy>
  <cp:revision>2</cp:revision>
  <dcterms:created xsi:type="dcterms:W3CDTF">2012-07-06T17:49:00Z</dcterms:created>
  <dcterms:modified xsi:type="dcterms:W3CDTF">2012-07-06T17:49:00Z</dcterms:modified>
</cp:coreProperties>
</file>